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方正仿宋_GBK" w:cs="Times New Roman"/>
          <w:sz w:val="32"/>
          <w:szCs w:val="32"/>
        </w:rPr>
      </w:pPr>
      <w:r>
        <w:rPr>
          <w:rFonts w:ascii="Times New Roman" w:hAnsi="Times New Roman" w:eastAsia="方正仿宋_GBK" w:cs="Times New Roman"/>
          <w:sz w:val="32"/>
          <w:szCs w:val="32"/>
        </w:rPr>
        <w:t>附件1</w:t>
      </w:r>
    </w:p>
    <w:p>
      <w:pPr>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服务</w:t>
      </w:r>
      <w:r>
        <w:rPr>
          <w:rFonts w:hint="eastAsia" w:ascii="Times New Roman" w:hAnsi="Times New Roman" w:eastAsia="方正小标宋_GBK" w:cs="Times New Roman"/>
          <w:sz w:val="44"/>
          <w:szCs w:val="44"/>
        </w:rPr>
        <w:t>支撑</w:t>
      </w:r>
      <w:r>
        <w:rPr>
          <w:rFonts w:ascii="Times New Roman" w:hAnsi="Times New Roman" w:eastAsia="方正小标宋_GBK" w:cs="Times New Roman"/>
          <w:sz w:val="44"/>
          <w:szCs w:val="44"/>
        </w:rPr>
        <w:t>机构管理工作要求</w:t>
      </w:r>
    </w:p>
    <w:p>
      <w:pPr>
        <w:snapToGrid w:val="0"/>
        <w:spacing w:line="590" w:lineRule="exact"/>
        <w:ind w:right="-40" w:rightChars="-19"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根据2022年江苏省工业信息安全防护星级企业培育工作安排，</w:t>
      </w:r>
      <w:r>
        <w:rPr>
          <w:rFonts w:hint="eastAsia" w:ascii="Times New Roman" w:hAnsi="Times New Roman" w:eastAsia="方正仿宋_GBK" w:cs="Times New Roman"/>
          <w:sz w:val="32"/>
        </w:rPr>
        <w:t>在企业开展星级防护能力星级自评估、第三方机构线上评估和现场核查阶段，将由相关服务支撑机构提供自评估咨询、在线评估诊断、提供整改建议、现场核查等服务工作。</w:t>
      </w:r>
      <w:r>
        <w:rPr>
          <w:rFonts w:ascii="Times New Roman" w:hAnsi="Times New Roman" w:eastAsia="方正仿宋_GBK" w:cs="Times New Roman"/>
          <w:sz w:val="32"/>
        </w:rPr>
        <w:t>为保证培育工作质量，</w:t>
      </w:r>
      <w:r>
        <w:rPr>
          <w:rFonts w:hint="eastAsia" w:ascii="Times New Roman" w:hAnsi="Times New Roman" w:eastAsia="方正仿宋_GBK" w:cs="Times New Roman"/>
          <w:sz w:val="32"/>
        </w:rPr>
        <w:t>加强</w:t>
      </w:r>
      <w:r>
        <w:rPr>
          <w:rFonts w:ascii="Times New Roman" w:hAnsi="Times New Roman" w:eastAsia="方正仿宋_GBK" w:cs="Times New Roman"/>
          <w:sz w:val="32"/>
        </w:rPr>
        <w:t>对</w:t>
      </w:r>
      <w:r>
        <w:rPr>
          <w:rFonts w:hint="eastAsia" w:ascii="Times New Roman" w:hAnsi="Times New Roman" w:eastAsia="方正仿宋_GBK" w:cs="Times New Roman"/>
          <w:sz w:val="32"/>
        </w:rPr>
        <w:t>自评估咨询</w:t>
      </w:r>
      <w:r>
        <w:rPr>
          <w:rFonts w:ascii="Times New Roman" w:hAnsi="Times New Roman" w:eastAsia="方正仿宋_GBK" w:cs="Times New Roman"/>
          <w:sz w:val="32"/>
        </w:rPr>
        <w:t>服务</w:t>
      </w:r>
      <w:r>
        <w:rPr>
          <w:rFonts w:hint="eastAsia" w:ascii="Times New Roman" w:hAnsi="Times New Roman" w:eastAsia="方正仿宋_GBK" w:cs="Times New Roman"/>
          <w:sz w:val="32"/>
        </w:rPr>
        <w:t>机构和第三方评估服务</w:t>
      </w:r>
      <w:r>
        <w:rPr>
          <w:rFonts w:ascii="Times New Roman" w:hAnsi="Times New Roman" w:eastAsia="方正仿宋_GBK" w:cs="Times New Roman"/>
          <w:sz w:val="32"/>
        </w:rPr>
        <w:t>机构</w:t>
      </w:r>
      <w:r>
        <w:rPr>
          <w:rFonts w:hint="eastAsia" w:ascii="Times New Roman" w:hAnsi="Times New Roman" w:eastAsia="方正仿宋_GBK" w:cs="Times New Roman"/>
          <w:sz w:val="32"/>
        </w:rPr>
        <w:t>的</w:t>
      </w:r>
      <w:r>
        <w:rPr>
          <w:rFonts w:ascii="Times New Roman" w:hAnsi="Times New Roman" w:eastAsia="方正仿宋_GBK" w:cs="Times New Roman"/>
          <w:sz w:val="32"/>
        </w:rPr>
        <w:t>管理</w:t>
      </w:r>
      <w:r>
        <w:rPr>
          <w:rFonts w:hint="eastAsia" w:ascii="Times New Roman" w:hAnsi="Times New Roman" w:eastAsia="方正仿宋_GBK" w:cs="Times New Roman"/>
          <w:sz w:val="32"/>
        </w:rPr>
        <w:t>，提出管理要求如下</w:t>
      </w:r>
      <w:r>
        <w:rPr>
          <w:rFonts w:ascii="Times New Roman" w:hAnsi="Times New Roman" w:eastAsia="方正仿宋_GBK" w:cs="Times New Roman"/>
          <w:sz w:val="32"/>
        </w:rPr>
        <w:t>：</w:t>
      </w:r>
    </w:p>
    <w:p>
      <w:pPr>
        <w:snapToGrid w:val="0"/>
        <w:spacing w:line="590" w:lineRule="exact"/>
        <w:ind w:right="-40" w:rightChars="-19" w:firstLine="640" w:firstLineChars="200"/>
        <w:rPr>
          <w:rFonts w:ascii="黑体" w:hAnsi="黑体" w:eastAsia="黑体" w:cs="Times New Roman"/>
          <w:sz w:val="32"/>
        </w:rPr>
      </w:pPr>
      <w:r>
        <w:rPr>
          <w:rFonts w:hint="eastAsia" w:ascii="黑体" w:hAnsi="黑体" w:eastAsia="黑体" w:cs="Times New Roman"/>
          <w:sz w:val="32"/>
        </w:rPr>
        <w:t>一、自评估咨询服务机构</w:t>
      </w:r>
    </w:p>
    <w:p>
      <w:pPr>
        <w:snapToGrid w:val="0"/>
        <w:spacing w:line="590" w:lineRule="exact"/>
        <w:ind w:right="-40" w:rightChars="-19"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1. 各设区市可指定2-5家</w:t>
      </w:r>
      <w:r>
        <w:rPr>
          <w:rFonts w:hint="eastAsia" w:ascii="Times New Roman" w:hAnsi="Times New Roman" w:eastAsia="方正仿宋_GBK" w:cs="Times New Roman"/>
          <w:sz w:val="32"/>
        </w:rPr>
        <w:t>单位</w:t>
      </w:r>
      <w:r>
        <w:rPr>
          <w:rFonts w:ascii="Times New Roman" w:hAnsi="Times New Roman" w:eastAsia="方正仿宋_GBK" w:cs="Times New Roman"/>
          <w:sz w:val="32"/>
        </w:rPr>
        <w:t>作为在本地区开展企业自评估咨询服务的机构；指定的服务机构中，至少</w:t>
      </w:r>
      <w:r>
        <w:rPr>
          <w:rFonts w:hint="eastAsia" w:ascii="Times New Roman" w:hAnsi="Times New Roman" w:eastAsia="方正仿宋_GBK" w:cs="Times New Roman"/>
          <w:sz w:val="32"/>
        </w:rPr>
        <w:t>需</w:t>
      </w:r>
      <w:r>
        <w:rPr>
          <w:rFonts w:ascii="Times New Roman" w:hAnsi="Times New Roman" w:eastAsia="方正仿宋_GBK" w:cs="Times New Roman"/>
          <w:sz w:val="32"/>
        </w:rPr>
        <w:t>有1家是省级工业信息安全服务支撑机构名单中的</w:t>
      </w:r>
      <w:r>
        <w:rPr>
          <w:rFonts w:hint="eastAsia" w:ascii="Times New Roman" w:hAnsi="Times New Roman" w:eastAsia="方正仿宋_GBK" w:cs="Times New Roman"/>
          <w:sz w:val="32"/>
        </w:rPr>
        <w:t>单位</w:t>
      </w:r>
      <w:r>
        <w:rPr>
          <w:rFonts w:ascii="Times New Roman" w:hAnsi="Times New Roman" w:eastAsia="方正仿宋_GBK" w:cs="Times New Roman"/>
          <w:sz w:val="32"/>
        </w:rPr>
        <w:t>，其它服务机构可选择本地区的工业信息安全技术服务单位。</w:t>
      </w:r>
    </w:p>
    <w:p>
      <w:pPr>
        <w:snapToGrid w:val="0"/>
        <w:spacing w:line="590" w:lineRule="exact"/>
        <w:ind w:right="-40" w:rightChars="-19"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2. 指定的服务机构</w:t>
      </w:r>
      <w:r>
        <w:rPr>
          <w:rFonts w:hint="eastAsia" w:ascii="Times New Roman" w:hAnsi="Times New Roman" w:eastAsia="方正仿宋_GBK" w:cs="Times New Roman"/>
          <w:sz w:val="32"/>
        </w:rPr>
        <w:t>应具有工业信息安全服务技术能力，包括但不限于工业信息安全风险评估、漏洞检测、应急处置等，服务机构至</w:t>
      </w:r>
      <w:r>
        <w:rPr>
          <w:rFonts w:ascii="Times New Roman" w:hAnsi="Times New Roman" w:eastAsia="方正仿宋_GBK" w:cs="Times New Roman"/>
          <w:sz w:val="32"/>
        </w:rPr>
        <w:t>少提供3人以上的服务团队，服务人员须参加省工信厅组织的统一培训后方可开展咨询服务工作。</w:t>
      </w:r>
    </w:p>
    <w:p>
      <w:pPr>
        <w:snapToGrid w:val="0"/>
        <w:spacing w:line="590" w:lineRule="exact"/>
        <w:ind w:right="-40" w:rightChars="-19"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3. 企业可根据自身需求委托自评估咨询服务机构，也可由当地工信部门指定服务机构。</w:t>
      </w:r>
    </w:p>
    <w:p>
      <w:pPr>
        <w:snapToGrid w:val="0"/>
        <w:spacing w:line="590" w:lineRule="exact"/>
        <w:ind w:right="-40" w:rightChars="-19"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4. 各设区市工信局应对企业做好宣传工作，告知服务机构名单及联系信息，明示咨询服务不收取服务费用</w:t>
      </w:r>
      <w:r>
        <w:rPr>
          <w:rFonts w:hint="eastAsia" w:ascii="Times New Roman" w:hAnsi="Times New Roman" w:eastAsia="方正仿宋_GBK" w:cs="Times New Roman"/>
          <w:sz w:val="32"/>
        </w:rPr>
        <w:t>。</w:t>
      </w:r>
    </w:p>
    <w:p>
      <w:pPr>
        <w:snapToGrid w:val="0"/>
        <w:spacing w:line="590" w:lineRule="exact"/>
        <w:ind w:right="-40" w:rightChars="-19"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5. 服务机构不得帮助企业伪造自评估相关证明材料，省工信厅将委托指定机构对服务机构自评估行为进行监督审查，一旦发现服务机构存在伪造材料等违规行为，将取消其服务机构资格，并通报当地相关主管部门。</w:t>
      </w:r>
    </w:p>
    <w:p>
      <w:pPr>
        <w:snapToGrid w:val="0"/>
        <w:spacing w:line="590" w:lineRule="exact"/>
        <w:ind w:right="-40" w:rightChars="-19"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6</w:t>
      </w:r>
      <w:r>
        <w:rPr>
          <w:rFonts w:ascii="Times New Roman" w:hAnsi="Times New Roman" w:eastAsia="方正仿宋_GBK" w:cs="Times New Roman"/>
          <w:sz w:val="32"/>
        </w:rPr>
        <w:t xml:space="preserve">. </w:t>
      </w:r>
      <w:r>
        <w:rPr>
          <w:rFonts w:hint="eastAsia" w:ascii="Times New Roman" w:hAnsi="Times New Roman" w:eastAsia="方正仿宋_GBK" w:cs="Times New Roman"/>
          <w:sz w:val="32"/>
        </w:rPr>
        <w:t>各企业可对为本单位提供自评估咨询服务的服务机构进行评分，服务评分结果作为各地工信局对自评估咨询服务机构进行评价遴选的重要依据，各地工信部门可根据评价结果对服务机构进行动态管理。</w:t>
      </w:r>
    </w:p>
    <w:p>
      <w:pPr>
        <w:snapToGrid w:val="0"/>
        <w:spacing w:line="590" w:lineRule="exact"/>
        <w:ind w:right="-40" w:rightChars="-19" w:firstLine="640" w:firstLineChars="200"/>
        <w:rPr>
          <w:rFonts w:ascii="黑体" w:hAnsi="黑体" w:eastAsia="黑体" w:cs="Times New Roman"/>
          <w:sz w:val="32"/>
        </w:rPr>
      </w:pPr>
      <w:r>
        <w:rPr>
          <w:rFonts w:hint="eastAsia" w:ascii="黑体" w:hAnsi="黑体" w:eastAsia="黑体" w:cs="Times New Roman"/>
          <w:sz w:val="32"/>
        </w:rPr>
        <w:t>二、第三方评估服务机构</w:t>
      </w:r>
    </w:p>
    <w:p>
      <w:pPr>
        <w:snapToGrid w:val="0"/>
        <w:spacing w:line="590" w:lineRule="exact"/>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 xml:space="preserve">1. </w:t>
      </w:r>
      <w:r>
        <w:rPr>
          <w:rFonts w:hint="eastAsia" w:ascii="Times New Roman" w:hAnsi="Times New Roman" w:eastAsia="方正仿宋_GBK" w:cs="Times New Roman"/>
          <w:sz w:val="32"/>
        </w:rPr>
        <w:t>第三方评估服务机构由省工信厅从省级工业信息安全服务支撑机构名单中选择，主要提供企业自评估后的线上评估诊断并提出整改建议、现场核查评估等服务支撑工作。</w:t>
      </w:r>
    </w:p>
    <w:p>
      <w:pPr>
        <w:snapToGrid w:val="0"/>
        <w:spacing w:line="590" w:lineRule="exact"/>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 xml:space="preserve">2. </w:t>
      </w:r>
      <w:r>
        <w:rPr>
          <w:rFonts w:hint="eastAsia" w:ascii="Times New Roman" w:hAnsi="Times New Roman" w:eastAsia="方正仿宋_GBK" w:cs="Times New Roman"/>
          <w:sz w:val="32"/>
        </w:rPr>
        <w:t>第三方评估</w:t>
      </w:r>
      <w:r>
        <w:rPr>
          <w:rFonts w:ascii="Times New Roman" w:hAnsi="Times New Roman" w:eastAsia="方正仿宋_GBK" w:cs="Times New Roman"/>
          <w:sz w:val="32"/>
        </w:rPr>
        <w:t>服务机构至少提供10人以上的服务团队，服务人员须参加省工信厅组织的统一培训后方可开展</w:t>
      </w:r>
      <w:r>
        <w:rPr>
          <w:rFonts w:hint="eastAsia" w:ascii="Times New Roman" w:hAnsi="Times New Roman" w:eastAsia="方正仿宋_GBK" w:cs="Times New Roman"/>
          <w:sz w:val="32"/>
        </w:rPr>
        <w:t>线上评估和现场核查评估等</w:t>
      </w:r>
      <w:r>
        <w:rPr>
          <w:rFonts w:ascii="Times New Roman" w:hAnsi="Times New Roman" w:eastAsia="方正仿宋_GBK" w:cs="Times New Roman"/>
          <w:sz w:val="32"/>
        </w:rPr>
        <w:t>服务工作。</w:t>
      </w:r>
    </w:p>
    <w:p>
      <w:pPr>
        <w:snapToGrid w:val="0"/>
        <w:spacing w:line="590" w:lineRule="exact"/>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 xml:space="preserve">3. </w:t>
      </w:r>
      <w:r>
        <w:rPr>
          <w:rFonts w:hint="eastAsia" w:ascii="Times New Roman" w:hAnsi="Times New Roman" w:eastAsia="方正仿宋_GBK" w:cs="Times New Roman"/>
          <w:sz w:val="32"/>
        </w:rPr>
        <w:t>省工信厅在培育工作中视情指派第三方评估</w:t>
      </w:r>
      <w:r>
        <w:rPr>
          <w:rFonts w:ascii="Times New Roman" w:hAnsi="Times New Roman" w:eastAsia="方正仿宋_GBK" w:cs="Times New Roman"/>
          <w:sz w:val="32"/>
        </w:rPr>
        <w:t>服务机构</w:t>
      </w:r>
      <w:r>
        <w:rPr>
          <w:rFonts w:hint="eastAsia" w:ascii="Times New Roman" w:hAnsi="Times New Roman" w:eastAsia="方正仿宋_GBK" w:cs="Times New Roman"/>
          <w:sz w:val="32"/>
        </w:rPr>
        <w:t>参与具体评估服务工作</w:t>
      </w:r>
      <w:r>
        <w:rPr>
          <w:rFonts w:ascii="Times New Roman" w:hAnsi="Times New Roman" w:eastAsia="方正仿宋_GBK" w:cs="Times New Roman"/>
          <w:sz w:val="32"/>
        </w:rPr>
        <w:t>。</w:t>
      </w:r>
    </w:p>
    <w:p>
      <w:pPr>
        <w:snapToGrid w:val="0"/>
        <w:spacing w:line="590" w:lineRule="exact"/>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 xml:space="preserve">4. </w:t>
      </w:r>
      <w:r>
        <w:rPr>
          <w:rFonts w:hint="eastAsia" w:ascii="Times New Roman" w:hAnsi="Times New Roman" w:eastAsia="方正仿宋_GBK" w:cs="Times New Roman"/>
          <w:sz w:val="32"/>
        </w:rPr>
        <w:t>第三方评估</w:t>
      </w:r>
      <w:r>
        <w:rPr>
          <w:rFonts w:ascii="Times New Roman" w:hAnsi="Times New Roman" w:eastAsia="方正仿宋_GBK" w:cs="Times New Roman"/>
          <w:sz w:val="32"/>
        </w:rPr>
        <w:t>服务机构</w:t>
      </w:r>
      <w:r>
        <w:rPr>
          <w:rFonts w:hint="eastAsia" w:ascii="Times New Roman" w:hAnsi="Times New Roman" w:eastAsia="方正仿宋_GBK" w:cs="Times New Roman"/>
          <w:sz w:val="32"/>
        </w:rPr>
        <w:t>及机构人员在服务过程中不得以任何方式</w:t>
      </w:r>
      <w:r>
        <w:rPr>
          <w:rFonts w:ascii="Times New Roman" w:hAnsi="Times New Roman" w:eastAsia="方正仿宋_GBK" w:cs="Times New Roman"/>
          <w:sz w:val="32"/>
        </w:rPr>
        <w:t>收取服务费用</w:t>
      </w:r>
      <w:r>
        <w:rPr>
          <w:rFonts w:hint="eastAsia" w:ascii="Times New Roman" w:hAnsi="Times New Roman" w:eastAsia="方正仿宋_GBK" w:cs="Times New Roman"/>
          <w:sz w:val="32"/>
        </w:rPr>
        <w:t>。</w:t>
      </w:r>
    </w:p>
    <w:p>
      <w:pPr>
        <w:snapToGrid w:val="0"/>
        <w:spacing w:line="590" w:lineRule="exact"/>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5. 服务机构不得帮助企业伪造评估相关证明材料，省工信厅将委托指定机构对服务机构</w:t>
      </w:r>
      <w:r>
        <w:rPr>
          <w:rFonts w:hint="eastAsia" w:ascii="Times New Roman" w:hAnsi="Times New Roman" w:eastAsia="方正仿宋_GBK" w:cs="Times New Roman"/>
          <w:sz w:val="32"/>
        </w:rPr>
        <w:t>服务</w:t>
      </w:r>
      <w:r>
        <w:rPr>
          <w:rFonts w:ascii="Times New Roman" w:hAnsi="Times New Roman" w:eastAsia="方正仿宋_GBK" w:cs="Times New Roman"/>
          <w:sz w:val="32"/>
        </w:rPr>
        <w:t>行为进行监督审查，一旦发现服务机构存在伪造材料等违规行为，将取消其服务机构资格。</w:t>
      </w:r>
    </w:p>
    <w:p>
      <w:pPr>
        <w:snapToGrid w:val="0"/>
        <w:spacing w:line="590" w:lineRule="exact"/>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6</w:t>
      </w:r>
      <w:r>
        <w:rPr>
          <w:rFonts w:ascii="Times New Roman" w:hAnsi="Times New Roman" w:eastAsia="方正仿宋_GBK" w:cs="Times New Roman"/>
          <w:sz w:val="32"/>
        </w:rPr>
        <w:t xml:space="preserve">. </w:t>
      </w:r>
      <w:r>
        <w:rPr>
          <w:rFonts w:hint="eastAsia" w:ascii="Times New Roman" w:hAnsi="Times New Roman" w:eastAsia="方正仿宋_GBK" w:cs="Times New Roman"/>
          <w:sz w:val="32"/>
        </w:rPr>
        <w:t>省工信厅将根据各服务机构服务情况对其进行评分，遴选年度工业信息安全优秀服务商。评分结果同时作为下一年度省级工业信息安全服务支撑机构遴选的重要依据。</w:t>
      </w:r>
    </w:p>
    <w:p>
      <w:pPr>
        <w:snapToGrid w:val="0"/>
        <w:spacing w:line="590" w:lineRule="exact"/>
        <w:ind w:right="-40" w:rightChars="-19" w:firstLine="640" w:firstLineChars="200"/>
        <w:jc w:val="left"/>
        <w:rPr>
          <w:rFonts w:ascii="Times New Roman" w:hAnsi="Times New Roman" w:eastAsia="方正仿宋_GBK" w:cs="Times New Roman"/>
          <w:sz w:val="32"/>
        </w:rPr>
      </w:pPr>
    </w:p>
    <w:p>
      <w:pPr>
        <w:snapToGrid w:val="0"/>
        <w:spacing w:line="590" w:lineRule="exact"/>
        <w:ind w:right="-40" w:rightChars="-19" w:firstLine="640" w:firstLineChars="200"/>
        <w:jc w:val="left"/>
        <w:rPr>
          <w:rFonts w:ascii="Times New Roman" w:hAnsi="Times New Roman" w:eastAsia="方正仿宋_GBK" w:cs="Times New Roman"/>
          <w:sz w:val="32"/>
        </w:rPr>
      </w:pPr>
      <w:r>
        <w:rPr>
          <w:rFonts w:ascii="Times New Roman" w:hAnsi="Times New Roman" w:eastAsia="方正仿宋_GBK" w:cs="Times New Roman"/>
          <w:sz w:val="32"/>
        </w:rPr>
        <w:t>附：1. 企业自评估咨询对接表</w:t>
      </w:r>
    </w:p>
    <w:p>
      <w:pPr>
        <w:snapToGrid w:val="0"/>
        <w:spacing w:line="590" w:lineRule="exact"/>
        <w:ind w:right="-40" w:rightChars="-19" w:firstLine="640" w:firstLineChars="200"/>
        <w:jc w:val="left"/>
        <w:rPr>
          <w:rFonts w:ascii="Times New Roman" w:hAnsi="Times New Roman" w:eastAsia="方正仿宋_GBK" w:cs="Times New Roman"/>
          <w:sz w:val="32"/>
        </w:rPr>
      </w:pPr>
      <w:r>
        <w:rPr>
          <w:rFonts w:ascii="Times New Roman" w:hAnsi="Times New Roman" w:eastAsia="方正仿宋_GBK" w:cs="Times New Roman"/>
          <w:sz w:val="32"/>
        </w:rPr>
        <w:t xml:space="preserve">    2. 企业自评估咨询汇总表</w:t>
      </w:r>
    </w:p>
    <w:p>
      <w:pPr>
        <w:snapToGrid w:val="0"/>
        <w:spacing w:line="590" w:lineRule="exact"/>
        <w:ind w:right="-40" w:rightChars="-19" w:firstLine="640" w:firstLineChars="200"/>
        <w:jc w:val="left"/>
        <w:rPr>
          <w:rFonts w:ascii="Times New Roman" w:hAnsi="Times New Roman" w:eastAsia="方正仿宋_GBK" w:cs="Times New Roman"/>
          <w:sz w:val="32"/>
        </w:rPr>
      </w:pPr>
      <w:r>
        <w:rPr>
          <w:rFonts w:ascii="Times New Roman" w:hAnsi="Times New Roman" w:eastAsia="方正仿宋_GBK" w:cs="Times New Roman"/>
          <w:sz w:val="32"/>
        </w:rPr>
        <w:t xml:space="preserve">    3. 省级工业信息安全服务支撑机构简介</w:t>
      </w:r>
    </w:p>
    <w:p>
      <w:pPr>
        <w:widowControl/>
        <w:jc w:val="left"/>
        <w:rPr>
          <w:rFonts w:ascii="Times New Roman" w:hAnsi="Times New Roman" w:eastAsia="方正仿宋_GBK" w:cs="Times New Roman"/>
          <w:sz w:val="32"/>
        </w:rPr>
      </w:pPr>
      <w:r>
        <w:rPr>
          <w:rFonts w:ascii="Times New Roman" w:hAnsi="Times New Roman" w:eastAsia="方正仿宋_GBK" w:cs="Times New Roman"/>
          <w:sz w:val="32"/>
        </w:rPr>
        <w:br w:type="page"/>
      </w:r>
    </w:p>
    <w:p>
      <w:pPr>
        <w:snapToGrid w:val="0"/>
        <w:spacing w:line="590" w:lineRule="exact"/>
        <w:ind w:right="-40" w:rightChars="-19"/>
        <w:jc w:val="center"/>
        <w:rPr>
          <w:rFonts w:ascii="黑体" w:hAnsi="黑体" w:eastAsia="黑体" w:cs="Times New Roman"/>
          <w:sz w:val="32"/>
          <w:szCs w:val="32"/>
        </w:rPr>
      </w:pPr>
    </w:p>
    <w:p>
      <w:pPr>
        <w:snapToGrid w:val="0"/>
        <w:spacing w:line="590" w:lineRule="exact"/>
        <w:ind w:right="-40" w:rightChars="-19"/>
        <w:jc w:val="center"/>
        <w:rPr>
          <w:rFonts w:ascii="黑体" w:hAnsi="黑体" w:eastAsia="黑体" w:cs="Times New Roman"/>
          <w:sz w:val="32"/>
          <w:szCs w:val="32"/>
        </w:rPr>
      </w:pPr>
      <w:r>
        <w:rPr>
          <w:rFonts w:ascii="黑体" w:hAnsi="黑体" w:eastAsia="黑体" w:cs="Times New Roman"/>
          <w:sz w:val="32"/>
          <w:szCs w:val="32"/>
        </w:rPr>
        <w:t>企业自评估咨询对接表</w:t>
      </w:r>
    </w:p>
    <w:p>
      <w:pPr>
        <w:snapToGrid w:val="0"/>
        <w:spacing w:line="590" w:lineRule="exact"/>
        <w:ind w:right="-40" w:rightChars="-19"/>
        <w:jc w:val="left"/>
        <w:rPr>
          <w:rFonts w:ascii="Times New Roman" w:hAnsi="Times New Roman" w:eastAsia="方正仿宋_GBK" w:cs="Times New Roman"/>
          <w:sz w:val="32"/>
        </w:rPr>
      </w:pPr>
    </w:p>
    <w:p>
      <w:pPr>
        <w:snapToGrid w:val="0"/>
        <w:spacing w:line="590" w:lineRule="exact"/>
        <w:ind w:right="-40" w:rightChars="-19"/>
        <w:jc w:val="left"/>
        <w:rPr>
          <w:rFonts w:ascii="Times New Roman" w:hAnsi="Times New Roman" w:eastAsia="方正仿宋_GBK" w:cs="Times New Roman"/>
          <w:sz w:val="32"/>
        </w:rPr>
      </w:pPr>
      <w:r>
        <w:rPr>
          <w:rFonts w:hint="eastAsia" w:ascii="Times New Roman" w:hAnsi="Times New Roman" w:eastAsia="方正仿宋_GBK" w:cs="Times New Roman"/>
          <w:sz w:val="32"/>
        </w:rPr>
        <w:t>企业</w:t>
      </w:r>
      <w:r>
        <w:rPr>
          <w:rFonts w:ascii="Times New Roman" w:hAnsi="Times New Roman" w:eastAsia="方正仿宋_GBK" w:cs="Times New Roman"/>
          <w:sz w:val="32"/>
        </w:rPr>
        <w:t>名称：</w:t>
      </w:r>
    </w:p>
    <w:tbl>
      <w:tblPr>
        <w:tblStyle w:val="6"/>
        <w:tblW w:w="8647"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3118"/>
        <w:gridCol w:w="212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135" w:type="dxa"/>
          </w:tcPr>
          <w:p>
            <w:pPr>
              <w:snapToGrid w:val="0"/>
              <w:spacing w:line="590" w:lineRule="exact"/>
              <w:ind w:right="-40" w:rightChars="-19"/>
              <w:jc w:val="left"/>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序号</w:t>
            </w:r>
          </w:p>
        </w:tc>
        <w:tc>
          <w:tcPr>
            <w:tcW w:w="3118" w:type="dxa"/>
          </w:tcPr>
          <w:p>
            <w:pPr>
              <w:snapToGrid w:val="0"/>
              <w:spacing w:line="590" w:lineRule="exact"/>
              <w:ind w:right="-40" w:rightChars="-19"/>
              <w:jc w:val="left"/>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服务机构名称</w:t>
            </w:r>
          </w:p>
        </w:tc>
        <w:tc>
          <w:tcPr>
            <w:tcW w:w="2126" w:type="dxa"/>
          </w:tcPr>
          <w:p>
            <w:pPr>
              <w:snapToGrid w:val="0"/>
              <w:spacing w:line="590" w:lineRule="exact"/>
              <w:ind w:right="-40" w:rightChars="-19"/>
              <w:jc w:val="left"/>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企业自选</w:t>
            </w:r>
            <w:r>
              <w:rPr>
                <w:rFonts w:hint="eastAsia" w:ascii="方正仿宋_GBK" w:hAnsi="Times New Roman" w:eastAsia="方正仿宋_GBK" w:cs="Times New Roman"/>
                <w:b/>
                <w:sz w:val="28"/>
                <w:szCs w:val="28"/>
              </w:rPr>
              <w:t>□</w:t>
            </w:r>
          </w:p>
        </w:tc>
        <w:tc>
          <w:tcPr>
            <w:tcW w:w="2268" w:type="dxa"/>
          </w:tcPr>
          <w:p>
            <w:pPr>
              <w:snapToGrid w:val="0"/>
              <w:spacing w:line="590" w:lineRule="exact"/>
              <w:ind w:right="-40" w:rightChars="-19"/>
              <w:jc w:val="left"/>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工信局指定</w:t>
            </w:r>
            <w:r>
              <w:rPr>
                <w:rFonts w:hint="eastAsia" w:ascii="方正仿宋_GBK" w:hAnsi="Times New Roman" w:eastAsia="方正仿宋_GBK" w:cs="Times New Roman"/>
                <w:b/>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1</w:t>
            </w:r>
          </w:p>
        </w:tc>
        <w:tc>
          <w:tcPr>
            <w:tcW w:w="3118" w:type="dxa"/>
          </w:tcPr>
          <w:p>
            <w:pPr>
              <w:snapToGrid w:val="0"/>
              <w:spacing w:line="590" w:lineRule="exact"/>
              <w:ind w:right="-40" w:rightChars="-19"/>
              <w:jc w:val="left"/>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（此列由各设区市工信局填写，下同）</w:t>
            </w:r>
          </w:p>
        </w:tc>
        <w:tc>
          <w:tcPr>
            <w:tcW w:w="2126" w:type="dxa"/>
          </w:tcPr>
          <w:p>
            <w:pPr>
              <w:snapToGrid w:val="0"/>
              <w:spacing w:line="590" w:lineRule="exact"/>
              <w:ind w:right="-40" w:rightChars="-19"/>
              <w:jc w:val="left"/>
              <w:rPr>
                <w:rFonts w:ascii="Times New Roman" w:hAnsi="Times New Roman" w:eastAsia="方正仿宋_GBK" w:cs="Times New Roman"/>
                <w:sz w:val="28"/>
                <w:szCs w:val="28"/>
              </w:rPr>
            </w:pPr>
          </w:p>
        </w:tc>
        <w:tc>
          <w:tcPr>
            <w:tcW w:w="2268"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2</w:t>
            </w:r>
          </w:p>
        </w:tc>
        <w:tc>
          <w:tcPr>
            <w:tcW w:w="3118" w:type="dxa"/>
          </w:tcPr>
          <w:p>
            <w:pPr>
              <w:snapToGrid w:val="0"/>
              <w:spacing w:line="590" w:lineRule="exact"/>
              <w:ind w:right="-40" w:rightChars="-19"/>
              <w:jc w:val="left"/>
              <w:rPr>
                <w:rFonts w:ascii="Times New Roman" w:hAnsi="Times New Roman" w:eastAsia="方正仿宋_GBK" w:cs="Times New Roman"/>
                <w:sz w:val="28"/>
                <w:szCs w:val="28"/>
              </w:rPr>
            </w:pPr>
          </w:p>
        </w:tc>
        <w:tc>
          <w:tcPr>
            <w:tcW w:w="2126" w:type="dxa"/>
          </w:tcPr>
          <w:p>
            <w:pPr>
              <w:snapToGrid w:val="0"/>
              <w:spacing w:line="590" w:lineRule="exact"/>
              <w:ind w:right="-40" w:rightChars="-19"/>
              <w:jc w:val="left"/>
              <w:rPr>
                <w:rFonts w:ascii="Times New Roman" w:hAnsi="Times New Roman" w:eastAsia="方正仿宋_GBK" w:cs="Times New Roman"/>
                <w:sz w:val="28"/>
                <w:szCs w:val="28"/>
              </w:rPr>
            </w:pPr>
          </w:p>
        </w:tc>
        <w:tc>
          <w:tcPr>
            <w:tcW w:w="2268"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3</w:t>
            </w:r>
          </w:p>
        </w:tc>
        <w:tc>
          <w:tcPr>
            <w:tcW w:w="3118" w:type="dxa"/>
          </w:tcPr>
          <w:p>
            <w:pPr>
              <w:snapToGrid w:val="0"/>
              <w:spacing w:line="590" w:lineRule="exact"/>
              <w:ind w:right="-40" w:rightChars="-19"/>
              <w:jc w:val="left"/>
              <w:rPr>
                <w:rFonts w:ascii="Times New Roman" w:hAnsi="Times New Roman" w:eastAsia="方正仿宋_GBK" w:cs="Times New Roman"/>
                <w:sz w:val="28"/>
                <w:szCs w:val="28"/>
              </w:rPr>
            </w:pPr>
          </w:p>
        </w:tc>
        <w:tc>
          <w:tcPr>
            <w:tcW w:w="2126" w:type="dxa"/>
          </w:tcPr>
          <w:p>
            <w:pPr>
              <w:snapToGrid w:val="0"/>
              <w:spacing w:line="590" w:lineRule="exact"/>
              <w:ind w:right="-40" w:rightChars="-19"/>
              <w:jc w:val="left"/>
              <w:rPr>
                <w:rFonts w:ascii="Times New Roman" w:hAnsi="Times New Roman" w:eastAsia="方正仿宋_GBK" w:cs="Times New Roman"/>
                <w:sz w:val="28"/>
                <w:szCs w:val="28"/>
              </w:rPr>
            </w:pPr>
          </w:p>
        </w:tc>
        <w:tc>
          <w:tcPr>
            <w:tcW w:w="2268"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4</w:t>
            </w:r>
          </w:p>
        </w:tc>
        <w:tc>
          <w:tcPr>
            <w:tcW w:w="3118" w:type="dxa"/>
          </w:tcPr>
          <w:p>
            <w:pPr>
              <w:snapToGrid w:val="0"/>
              <w:spacing w:line="590" w:lineRule="exact"/>
              <w:ind w:right="-40" w:rightChars="-19"/>
              <w:jc w:val="left"/>
              <w:rPr>
                <w:rFonts w:ascii="Times New Roman" w:hAnsi="Times New Roman" w:eastAsia="方正仿宋_GBK" w:cs="Times New Roman"/>
                <w:sz w:val="28"/>
                <w:szCs w:val="28"/>
              </w:rPr>
            </w:pPr>
          </w:p>
        </w:tc>
        <w:tc>
          <w:tcPr>
            <w:tcW w:w="2126" w:type="dxa"/>
          </w:tcPr>
          <w:p>
            <w:pPr>
              <w:snapToGrid w:val="0"/>
              <w:spacing w:line="590" w:lineRule="exact"/>
              <w:ind w:right="-40" w:rightChars="-19"/>
              <w:jc w:val="left"/>
              <w:rPr>
                <w:rFonts w:ascii="Times New Roman" w:hAnsi="Times New Roman" w:eastAsia="方正仿宋_GBK" w:cs="Times New Roman"/>
                <w:sz w:val="28"/>
                <w:szCs w:val="28"/>
              </w:rPr>
            </w:pPr>
          </w:p>
        </w:tc>
        <w:tc>
          <w:tcPr>
            <w:tcW w:w="2268"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5</w:t>
            </w:r>
          </w:p>
        </w:tc>
        <w:tc>
          <w:tcPr>
            <w:tcW w:w="3118" w:type="dxa"/>
          </w:tcPr>
          <w:p>
            <w:pPr>
              <w:snapToGrid w:val="0"/>
              <w:spacing w:line="590" w:lineRule="exact"/>
              <w:ind w:right="-40" w:rightChars="-19"/>
              <w:jc w:val="left"/>
              <w:rPr>
                <w:rFonts w:ascii="Times New Roman" w:hAnsi="Times New Roman" w:eastAsia="方正仿宋_GBK" w:cs="Times New Roman"/>
                <w:sz w:val="28"/>
                <w:szCs w:val="28"/>
              </w:rPr>
            </w:pPr>
          </w:p>
        </w:tc>
        <w:tc>
          <w:tcPr>
            <w:tcW w:w="2126" w:type="dxa"/>
          </w:tcPr>
          <w:p>
            <w:pPr>
              <w:snapToGrid w:val="0"/>
              <w:spacing w:line="590" w:lineRule="exact"/>
              <w:ind w:right="-40" w:rightChars="-19"/>
              <w:jc w:val="left"/>
              <w:rPr>
                <w:rFonts w:ascii="Times New Roman" w:hAnsi="Times New Roman" w:eastAsia="方正仿宋_GBK" w:cs="Times New Roman"/>
                <w:sz w:val="28"/>
                <w:szCs w:val="28"/>
              </w:rPr>
            </w:pPr>
          </w:p>
        </w:tc>
        <w:tc>
          <w:tcPr>
            <w:tcW w:w="2268" w:type="dxa"/>
          </w:tcPr>
          <w:p>
            <w:pPr>
              <w:snapToGrid w:val="0"/>
              <w:spacing w:line="590" w:lineRule="exact"/>
              <w:ind w:right="-40" w:rightChars="-19"/>
              <w:jc w:val="left"/>
              <w:rPr>
                <w:rFonts w:ascii="Times New Roman" w:hAnsi="Times New Roman" w:eastAsia="方正仿宋_GBK" w:cs="Times New Roman"/>
                <w:sz w:val="28"/>
                <w:szCs w:val="28"/>
              </w:rPr>
            </w:pPr>
          </w:p>
        </w:tc>
      </w:tr>
    </w:tbl>
    <w:p>
      <w:pPr>
        <w:snapToGrid w:val="0"/>
        <w:spacing w:line="590" w:lineRule="exact"/>
        <w:ind w:right="-40" w:rightChars="-19" w:firstLine="560" w:firstLineChars="200"/>
        <w:jc w:val="left"/>
        <w:rPr>
          <w:rFonts w:ascii="方正楷体_GBK" w:hAnsi="Times New Roman" w:eastAsia="方正楷体_GBK" w:cs="Times New Roman"/>
          <w:sz w:val="28"/>
          <w:szCs w:val="28"/>
        </w:rPr>
      </w:pPr>
      <w:r>
        <w:rPr>
          <w:rFonts w:hint="eastAsia" w:ascii="方正楷体_GBK" w:hAnsi="Times New Roman" w:eastAsia="方正楷体_GBK" w:cs="Times New Roman"/>
          <w:sz w:val="28"/>
          <w:szCs w:val="28"/>
        </w:rPr>
        <w:t>注:此表由各设区市工信局提供给参培企业填写。企业如自选服务机构，需在企业自选框打勾，并勾选1家机构；企业如由工信局指定服务机构，则仅需在工信局指定框打勾。</w:t>
      </w:r>
    </w:p>
    <w:p>
      <w:pPr>
        <w:widowControl/>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br w:type="page"/>
      </w:r>
    </w:p>
    <w:p>
      <w:pPr>
        <w:snapToGrid w:val="0"/>
        <w:spacing w:line="590" w:lineRule="exact"/>
        <w:ind w:right="-40" w:rightChars="-19" w:firstLine="640" w:firstLineChars="200"/>
        <w:jc w:val="center"/>
        <w:rPr>
          <w:rFonts w:ascii="黑体" w:hAnsi="黑体" w:eastAsia="黑体" w:cs="Times New Roman"/>
          <w:sz w:val="32"/>
        </w:rPr>
      </w:pPr>
    </w:p>
    <w:p>
      <w:pPr>
        <w:snapToGrid w:val="0"/>
        <w:spacing w:line="590" w:lineRule="exact"/>
        <w:ind w:right="-40" w:rightChars="-19" w:firstLine="640" w:firstLineChars="200"/>
        <w:jc w:val="center"/>
        <w:rPr>
          <w:rFonts w:ascii="黑体" w:hAnsi="黑体" w:eastAsia="黑体" w:cs="Times New Roman"/>
          <w:sz w:val="32"/>
        </w:rPr>
      </w:pPr>
    </w:p>
    <w:p>
      <w:pPr>
        <w:snapToGrid w:val="0"/>
        <w:spacing w:line="590" w:lineRule="exact"/>
        <w:ind w:right="-40" w:rightChars="-19"/>
        <w:jc w:val="center"/>
        <w:rPr>
          <w:rFonts w:ascii="黑体" w:hAnsi="黑体" w:eastAsia="黑体" w:cs="Times New Roman"/>
          <w:sz w:val="32"/>
        </w:rPr>
      </w:pPr>
      <w:bookmarkStart w:id="0" w:name="_GoBack"/>
      <w:r>
        <w:rPr>
          <w:rFonts w:ascii="黑体" w:hAnsi="黑体" w:eastAsia="黑体" w:cs="Times New Roman"/>
          <w:sz w:val="32"/>
        </w:rPr>
        <w:t>企业自评估咨询汇总表</w:t>
      </w:r>
      <w:bookmarkEnd w:id="0"/>
    </w:p>
    <w:p>
      <w:pPr>
        <w:snapToGrid w:val="0"/>
        <w:spacing w:line="590" w:lineRule="exact"/>
        <w:ind w:right="-40" w:rightChars="-19" w:firstLine="640" w:firstLineChars="200"/>
        <w:jc w:val="center"/>
        <w:rPr>
          <w:rFonts w:ascii="Times New Roman" w:hAnsi="Times New Roman" w:eastAsia="方正仿宋_GBK" w:cs="Times New Roman"/>
          <w:sz w:val="32"/>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1"/>
        <w:gridCol w:w="1296"/>
        <w:gridCol w:w="2977"/>
        <w:gridCol w:w="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1" w:type="dxa"/>
            <w:vAlign w:val="center"/>
          </w:tcPr>
          <w:p>
            <w:pPr>
              <w:snapToGrid w:val="0"/>
              <w:spacing w:line="590" w:lineRule="exact"/>
              <w:ind w:right="-40" w:rightChars="-19"/>
              <w:jc w:val="center"/>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序号</w:t>
            </w:r>
          </w:p>
        </w:tc>
        <w:tc>
          <w:tcPr>
            <w:tcW w:w="1296" w:type="dxa"/>
            <w:vAlign w:val="center"/>
          </w:tcPr>
          <w:p>
            <w:pPr>
              <w:snapToGrid w:val="0"/>
              <w:spacing w:line="590" w:lineRule="exact"/>
              <w:ind w:right="-40" w:rightChars="-19"/>
              <w:jc w:val="center"/>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设区市</w:t>
            </w:r>
          </w:p>
        </w:tc>
        <w:tc>
          <w:tcPr>
            <w:tcW w:w="2977" w:type="dxa"/>
            <w:vAlign w:val="center"/>
          </w:tcPr>
          <w:p>
            <w:pPr>
              <w:snapToGrid w:val="0"/>
              <w:spacing w:line="590" w:lineRule="exact"/>
              <w:ind w:right="-40" w:rightChars="-19"/>
              <w:jc w:val="center"/>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企业名称</w:t>
            </w:r>
          </w:p>
        </w:tc>
        <w:tc>
          <w:tcPr>
            <w:tcW w:w="2772" w:type="dxa"/>
            <w:vAlign w:val="center"/>
          </w:tcPr>
          <w:p>
            <w:pPr>
              <w:snapToGrid w:val="0"/>
              <w:spacing w:line="590" w:lineRule="exact"/>
              <w:ind w:right="-40" w:rightChars="-19"/>
              <w:jc w:val="center"/>
              <w:rPr>
                <w:rFonts w:ascii="Times New Roman" w:hAnsi="Times New Roman" w:eastAsia="方正仿宋_GBK" w:cs="Times New Roman"/>
                <w:b/>
                <w:sz w:val="28"/>
                <w:szCs w:val="28"/>
              </w:rPr>
            </w:pPr>
            <w:r>
              <w:rPr>
                <w:rFonts w:hint="eastAsia" w:ascii="Times New Roman" w:hAnsi="Times New Roman" w:eastAsia="方正仿宋_GBK" w:cs="Times New Roman"/>
                <w:b/>
                <w:sz w:val="28"/>
                <w:szCs w:val="28"/>
              </w:rPr>
              <w:t>服务机构名称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1"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1</w:t>
            </w:r>
          </w:p>
        </w:tc>
        <w:tc>
          <w:tcPr>
            <w:tcW w:w="1296" w:type="dxa"/>
          </w:tcPr>
          <w:p>
            <w:pPr>
              <w:snapToGrid w:val="0"/>
              <w:spacing w:line="590" w:lineRule="exact"/>
              <w:ind w:right="-40" w:rightChars="-19"/>
              <w:jc w:val="left"/>
              <w:rPr>
                <w:rFonts w:ascii="Times New Roman" w:hAnsi="Times New Roman" w:eastAsia="方正仿宋_GBK" w:cs="Times New Roman"/>
                <w:sz w:val="28"/>
                <w:szCs w:val="28"/>
              </w:rPr>
            </w:pPr>
          </w:p>
        </w:tc>
        <w:tc>
          <w:tcPr>
            <w:tcW w:w="2977" w:type="dxa"/>
          </w:tcPr>
          <w:p>
            <w:pPr>
              <w:snapToGrid w:val="0"/>
              <w:spacing w:line="590" w:lineRule="exact"/>
              <w:ind w:right="-40" w:rightChars="-19"/>
              <w:jc w:val="left"/>
              <w:rPr>
                <w:rFonts w:ascii="Times New Roman" w:hAnsi="Times New Roman" w:eastAsia="方正仿宋_GBK" w:cs="Times New Roman"/>
                <w:sz w:val="28"/>
                <w:szCs w:val="28"/>
              </w:rPr>
            </w:pPr>
          </w:p>
        </w:tc>
        <w:tc>
          <w:tcPr>
            <w:tcW w:w="2772"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1"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2</w:t>
            </w:r>
          </w:p>
        </w:tc>
        <w:tc>
          <w:tcPr>
            <w:tcW w:w="1296" w:type="dxa"/>
          </w:tcPr>
          <w:p>
            <w:pPr>
              <w:snapToGrid w:val="0"/>
              <w:spacing w:line="590" w:lineRule="exact"/>
              <w:ind w:right="-40" w:rightChars="-19"/>
              <w:jc w:val="left"/>
              <w:rPr>
                <w:rFonts w:ascii="Times New Roman" w:hAnsi="Times New Roman" w:eastAsia="方正仿宋_GBK" w:cs="Times New Roman"/>
                <w:sz w:val="28"/>
                <w:szCs w:val="28"/>
              </w:rPr>
            </w:pPr>
          </w:p>
        </w:tc>
        <w:tc>
          <w:tcPr>
            <w:tcW w:w="2977" w:type="dxa"/>
          </w:tcPr>
          <w:p>
            <w:pPr>
              <w:snapToGrid w:val="0"/>
              <w:spacing w:line="590" w:lineRule="exact"/>
              <w:ind w:right="-40" w:rightChars="-19"/>
              <w:jc w:val="left"/>
              <w:rPr>
                <w:rFonts w:ascii="Times New Roman" w:hAnsi="Times New Roman" w:eastAsia="方正仿宋_GBK" w:cs="Times New Roman"/>
                <w:sz w:val="28"/>
                <w:szCs w:val="28"/>
              </w:rPr>
            </w:pPr>
          </w:p>
        </w:tc>
        <w:tc>
          <w:tcPr>
            <w:tcW w:w="2772"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1"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3</w:t>
            </w:r>
          </w:p>
        </w:tc>
        <w:tc>
          <w:tcPr>
            <w:tcW w:w="1296" w:type="dxa"/>
          </w:tcPr>
          <w:p>
            <w:pPr>
              <w:snapToGrid w:val="0"/>
              <w:spacing w:line="590" w:lineRule="exact"/>
              <w:ind w:right="-40" w:rightChars="-19"/>
              <w:jc w:val="left"/>
              <w:rPr>
                <w:rFonts w:ascii="Times New Roman" w:hAnsi="Times New Roman" w:eastAsia="方正仿宋_GBK" w:cs="Times New Roman"/>
                <w:sz w:val="28"/>
                <w:szCs w:val="28"/>
              </w:rPr>
            </w:pPr>
          </w:p>
        </w:tc>
        <w:tc>
          <w:tcPr>
            <w:tcW w:w="2977" w:type="dxa"/>
          </w:tcPr>
          <w:p>
            <w:pPr>
              <w:snapToGrid w:val="0"/>
              <w:spacing w:line="590" w:lineRule="exact"/>
              <w:ind w:right="-40" w:rightChars="-19"/>
              <w:jc w:val="left"/>
              <w:rPr>
                <w:rFonts w:ascii="Times New Roman" w:hAnsi="Times New Roman" w:eastAsia="方正仿宋_GBK" w:cs="Times New Roman"/>
                <w:sz w:val="28"/>
                <w:szCs w:val="28"/>
              </w:rPr>
            </w:pPr>
          </w:p>
        </w:tc>
        <w:tc>
          <w:tcPr>
            <w:tcW w:w="2772"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1"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方正仿宋_GBK" w:hAnsi="Times New Roman" w:eastAsia="方正仿宋_GBK" w:cs="Times New Roman"/>
                <w:sz w:val="28"/>
                <w:szCs w:val="28"/>
              </w:rPr>
              <w:t>…</w:t>
            </w:r>
          </w:p>
        </w:tc>
        <w:tc>
          <w:tcPr>
            <w:tcW w:w="1296" w:type="dxa"/>
          </w:tcPr>
          <w:p>
            <w:pPr>
              <w:snapToGrid w:val="0"/>
              <w:spacing w:line="590" w:lineRule="exact"/>
              <w:ind w:right="-40" w:rightChars="-19"/>
              <w:jc w:val="left"/>
              <w:rPr>
                <w:rFonts w:ascii="Times New Roman" w:hAnsi="Times New Roman" w:eastAsia="方正仿宋_GBK" w:cs="Times New Roman"/>
                <w:sz w:val="28"/>
                <w:szCs w:val="28"/>
              </w:rPr>
            </w:pPr>
          </w:p>
        </w:tc>
        <w:tc>
          <w:tcPr>
            <w:tcW w:w="2977" w:type="dxa"/>
          </w:tcPr>
          <w:p>
            <w:pPr>
              <w:snapToGrid w:val="0"/>
              <w:spacing w:line="590" w:lineRule="exact"/>
              <w:ind w:right="-40" w:rightChars="-19"/>
              <w:jc w:val="left"/>
              <w:rPr>
                <w:rFonts w:ascii="Times New Roman" w:hAnsi="Times New Roman" w:eastAsia="方正仿宋_GBK" w:cs="Times New Roman"/>
                <w:sz w:val="28"/>
                <w:szCs w:val="28"/>
              </w:rPr>
            </w:pPr>
          </w:p>
        </w:tc>
        <w:tc>
          <w:tcPr>
            <w:tcW w:w="2772" w:type="dxa"/>
          </w:tcPr>
          <w:p>
            <w:pPr>
              <w:snapToGrid w:val="0"/>
              <w:spacing w:line="590" w:lineRule="exact"/>
              <w:ind w:right="-40" w:rightChars="-19"/>
              <w:jc w:val="left"/>
              <w:rPr>
                <w:rFonts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1" w:type="dxa"/>
          </w:tcPr>
          <w:p>
            <w:pPr>
              <w:snapToGrid w:val="0"/>
              <w:spacing w:line="590" w:lineRule="exact"/>
              <w:ind w:right="-40" w:rightChars="-19"/>
              <w:jc w:val="center"/>
              <w:rPr>
                <w:rFonts w:ascii="Times New Roman" w:hAnsi="Times New Roman" w:eastAsia="方正仿宋_GBK" w:cs="Times New Roman"/>
                <w:sz w:val="28"/>
                <w:szCs w:val="28"/>
              </w:rPr>
            </w:pPr>
            <w:r>
              <w:rPr>
                <w:rFonts w:hint="eastAsia" w:ascii="方正仿宋_GBK" w:hAnsi="Times New Roman" w:eastAsia="方正仿宋_GBK" w:cs="Times New Roman"/>
                <w:sz w:val="28"/>
                <w:szCs w:val="28"/>
              </w:rPr>
              <w:t>…</w:t>
            </w:r>
          </w:p>
        </w:tc>
        <w:tc>
          <w:tcPr>
            <w:tcW w:w="1296" w:type="dxa"/>
          </w:tcPr>
          <w:p>
            <w:pPr>
              <w:snapToGrid w:val="0"/>
              <w:spacing w:line="590" w:lineRule="exact"/>
              <w:ind w:right="-40" w:rightChars="-19"/>
              <w:jc w:val="left"/>
              <w:rPr>
                <w:rFonts w:ascii="Times New Roman" w:hAnsi="Times New Roman" w:eastAsia="方正仿宋_GBK" w:cs="Times New Roman"/>
                <w:sz w:val="28"/>
                <w:szCs w:val="28"/>
              </w:rPr>
            </w:pPr>
          </w:p>
        </w:tc>
        <w:tc>
          <w:tcPr>
            <w:tcW w:w="2977" w:type="dxa"/>
          </w:tcPr>
          <w:p>
            <w:pPr>
              <w:snapToGrid w:val="0"/>
              <w:spacing w:line="590" w:lineRule="exact"/>
              <w:ind w:right="-40" w:rightChars="-19"/>
              <w:jc w:val="left"/>
              <w:rPr>
                <w:rFonts w:ascii="Times New Roman" w:hAnsi="Times New Roman" w:eastAsia="方正仿宋_GBK" w:cs="Times New Roman"/>
                <w:sz w:val="28"/>
                <w:szCs w:val="28"/>
              </w:rPr>
            </w:pPr>
          </w:p>
        </w:tc>
        <w:tc>
          <w:tcPr>
            <w:tcW w:w="2772" w:type="dxa"/>
          </w:tcPr>
          <w:p>
            <w:pPr>
              <w:snapToGrid w:val="0"/>
              <w:spacing w:line="590" w:lineRule="exact"/>
              <w:ind w:right="-40" w:rightChars="-19"/>
              <w:jc w:val="left"/>
              <w:rPr>
                <w:rFonts w:ascii="Times New Roman" w:hAnsi="Times New Roman" w:eastAsia="方正仿宋_GBK" w:cs="Times New Roman"/>
                <w:sz w:val="28"/>
                <w:szCs w:val="28"/>
              </w:rPr>
            </w:pPr>
          </w:p>
        </w:tc>
      </w:tr>
    </w:tbl>
    <w:p>
      <w:pPr>
        <w:snapToGrid w:val="0"/>
        <w:spacing w:line="590" w:lineRule="exact"/>
        <w:ind w:right="-40" w:rightChars="-19" w:firstLine="560" w:firstLineChars="200"/>
        <w:jc w:val="left"/>
        <w:rPr>
          <w:rFonts w:ascii="方正楷体_GBK" w:hAnsi="Times New Roman" w:eastAsia="方正楷体_GBK" w:cs="Times New Roman"/>
          <w:sz w:val="28"/>
          <w:szCs w:val="28"/>
        </w:rPr>
      </w:pPr>
      <w:r>
        <w:rPr>
          <w:rFonts w:hint="eastAsia" w:ascii="方正楷体_GBK" w:hAnsi="Times New Roman" w:eastAsia="方正楷体_GBK" w:cs="Times New Roman"/>
          <w:sz w:val="28"/>
          <w:szCs w:val="28"/>
        </w:rPr>
        <w:t>注：此表由各设区市工信局填写</w:t>
      </w:r>
    </w:p>
    <w:p>
      <w:pPr>
        <w:snapToGrid w:val="0"/>
        <w:spacing w:line="590" w:lineRule="exact"/>
        <w:ind w:right="-40" w:rightChars="-19" w:firstLine="640" w:firstLineChars="200"/>
        <w:jc w:val="left"/>
        <w:rPr>
          <w:rFonts w:ascii="Times New Roman" w:hAnsi="Times New Roman" w:eastAsia="方正仿宋_GBK" w:cs="Times New Roman"/>
          <w:sz w:val="32"/>
        </w:rPr>
        <w:sectPr>
          <w:pgSz w:w="11906" w:h="16838"/>
          <w:pgMar w:top="1440" w:right="1800" w:bottom="1440" w:left="1800" w:header="851" w:footer="992" w:gutter="0"/>
          <w:cols w:space="425" w:num="1"/>
          <w:docGrid w:type="lines" w:linePitch="312" w:charSpace="0"/>
        </w:sectPr>
      </w:pPr>
      <w:r>
        <w:rPr>
          <w:rFonts w:ascii="Times New Roman" w:hAnsi="Times New Roman" w:eastAsia="方正仿宋_GBK" w:cs="Times New Roman"/>
          <w:sz w:val="32"/>
        </w:rPr>
        <w:t xml:space="preserve"> </w:t>
      </w:r>
    </w:p>
    <w:p>
      <w:pPr>
        <w:snapToGrid w:val="0"/>
        <w:spacing w:line="590" w:lineRule="exact"/>
        <w:ind w:right="-40" w:rightChars="-19" w:firstLine="640" w:firstLineChars="200"/>
        <w:jc w:val="left"/>
        <w:rPr>
          <w:rFonts w:ascii="方正仿宋_GBK" w:hAnsi="Times New Roman" w:eastAsia="方正仿宋_GBK" w:cs="Times New Roman"/>
          <w:sz w:val="32"/>
        </w:rPr>
      </w:pPr>
      <w:r>
        <w:rPr>
          <w:rFonts w:hint="eastAsia" w:ascii="方正仿宋_GBK" w:hAnsi="Times New Roman" w:eastAsia="方正仿宋_GBK" w:cs="Times New Roman"/>
          <w:sz w:val="32"/>
        </w:rPr>
        <w:t>附件：</w:t>
      </w:r>
    </w:p>
    <w:p>
      <w:pPr>
        <w:snapToGrid w:val="0"/>
        <w:spacing w:line="590" w:lineRule="exact"/>
        <w:ind w:right="-40" w:rightChars="-19" w:firstLine="640" w:firstLineChars="200"/>
        <w:jc w:val="center"/>
        <w:rPr>
          <w:rFonts w:ascii="Times New Roman" w:hAnsi="Times New Roman" w:eastAsia="黑体" w:cs="Times New Roman"/>
          <w:sz w:val="32"/>
        </w:rPr>
      </w:pPr>
      <w:r>
        <w:rPr>
          <w:rFonts w:ascii="Times New Roman" w:hAnsi="Times New Roman" w:eastAsia="黑体" w:cs="Times New Roman"/>
          <w:sz w:val="32"/>
        </w:rPr>
        <w:t>省级工业信息安全服务支撑机构简介</w:t>
      </w:r>
    </w:p>
    <w:p>
      <w:pPr>
        <w:snapToGrid w:val="0"/>
        <w:spacing w:line="590" w:lineRule="exact"/>
        <w:ind w:right="-40" w:rightChars="-19" w:firstLine="640" w:firstLineChars="200"/>
        <w:jc w:val="center"/>
        <w:rPr>
          <w:rFonts w:ascii="Times New Roman" w:hAnsi="Times New Roman" w:eastAsia="黑体" w:cs="Times New Roman"/>
          <w:sz w:val="32"/>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984"/>
        <w:gridCol w:w="7230"/>
        <w:gridCol w:w="198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46" w:type="dxa"/>
            <w:shd w:val="clear" w:color="auto" w:fill="D8D8D8" w:themeFill="background1" w:themeFillShade="D9"/>
            <w:vAlign w:val="center"/>
          </w:tcPr>
          <w:p>
            <w:pPr>
              <w:snapToGrid w:val="0"/>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序号</w:t>
            </w:r>
          </w:p>
        </w:tc>
        <w:tc>
          <w:tcPr>
            <w:tcW w:w="1984" w:type="dxa"/>
            <w:shd w:val="clear" w:color="auto" w:fill="D8D8D8" w:themeFill="background1" w:themeFillShade="D9"/>
            <w:vAlign w:val="center"/>
          </w:tcPr>
          <w:p>
            <w:pPr>
              <w:snapToGrid w:val="0"/>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机构名称</w:t>
            </w:r>
          </w:p>
        </w:tc>
        <w:tc>
          <w:tcPr>
            <w:tcW w:w="7230" w:type="dxa"/>
            <w:shd w:val="clear" w:color="auto" w:fill="D8D8D8" w:themeFill="background1" w:themeFillShade="D9"/>
            <w:vAlign w:val="center"/>
          </w:tcPr>
          <w:p>
            <w:pPr>
              <w:snapToGrid w:val="0"/>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主要业务及特色特长</w:t>
            </w:r>
          </w:p>
        </w:tc>
        <w:tc>
          <w:tcPr>
            <w:tcW w:w="1984" w:type="dxa"/>
            <w:shd w:val="clear" w:color="auto" w:fill="D8D8D8" w:themeFill="background1" w:themeFillShade="D9"/>
            <w:vAlign w:val="center"/>
          </w:tcPr>
          <w:p>
            <w:pPr>
              <w:snapToGrid w:val="0"/>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联系人及职务</w:t>
            </w:r>
          </w:p>
        </w:tc>
        <w:tc>
          <w:tcPr>
            <w:tcW w:w="1701" w:type="dxa"/>
            <w:shd w:val="clear" w:color="auto" w:fill="D8D8D8" w:themeFill="background1" w:themeFillShade="D9"/>
            <w:vAlign w:val="center"/>
          </w:tcPr>
          <w:p>
            <w:pPr>
              <w:snapToGrid w:val="0"/>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江苏省电子信息产品质量监督检验研究院</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研究院隶属于江苏省工业和信息化厅，属公益型科研事业单位，具有工业信息安全应急服务支撑单位、信息安全风险评估服务资质等多项国家级、省级工业信息安全服务专业资质，具有稳定可靠、技术过硬的服务团队，长期支撑全省工信部门开展工业信息安全检测评估、应急演练和处置等技术工作，为企业提供安全咨询、安全检测、辅导提升、应急演练、安全培训等服务，具有丰富的工业信息安全领域技术工作经验。</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张腾标</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网安中心主任</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18961815926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2</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江苏省软件产品检测中心</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江苏省工业和信息化厅直属的非营利性事业单位，是专业从事计算机软件检测、信息化绩效评估、ITSS咨询设计标准符合性评估、信息安全风险评估、信息安全加固/咨询、软件工程造价评估等服务的技术机构。</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廖月静</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测试部副主任</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18951738861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3</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南京联成科技发展股份有限公司</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联成科技率先提出集中管控与数字化管理理念，以集中管控技术模型为基础，数字化运营管理与服务体系为支撑，为工业信息系统构建运营管理中心，建立系统运行与管理过程的全面管控，从人为驱动的粗放管理向数据驱动的精细化运营管理转变，实现安全管理与管理安全，促进智慧运营管理建设。</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田兴苏</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售前技术主管</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13404128708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4</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博智安全科技股份有限公司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企业</w:t>
            </w:r>
            <w:r>
              <w:rPr>
                <w:rFonts w:ascii="Times New Roman" w:hAnsi="Times New Roman" w:eastAsia="方正仿宋_GBK" w:cs="Times New Roman"/>
                <w:sz w:val="24"/>
                <w:szCs w:val="24"/>
              </w:rPr>
              <w:t>专注于信息安全领域的工业安全和网络攻防两大核心方向。安全服务基于公司先进工控安全和靶场产品系列，依附专业技术团队非攻研究院，提供人才培养、安全评估、渗透测试、安全研究、安全竞赛等各项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杨焱</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总裁业务部部长</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17366369900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5</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江苏金陵科技集团有限公司</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主要业务包括安全咨询、风险评估、安全建设与测评等；特色特长主要是具备专业的工业信息安全服务团队，主要特长包括漏洞挖掘、风险评估与检测、溯源分析等，曾被评为江苏省两化融合安全服务示范单位、2020年工业信息安全技术支撑机构等。</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蒋苑青</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部门副主任</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18951656969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6</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中通服咨询设计研究院有限公司</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致力于通信、建筑、信息化、电力、节能环保的咨询、设计、研究与实施的国家级重点高新技术企业，可为工业企业提供安全管理及技术咨询、安全规划设计、安全风险评估、安全工程集成、安全运营支持、安全应急响应、安全竞赛培训等贯穿工业信息系统全生命周期的一体化安全技术支撑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杨波</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网络安全服务主管</w:t>
            </w:r>
          </w:p>
          <w:p>
            <w:pPr>
              <w:snapToGrid w:val="0"/>
              <w:jc w:val="center"/>
              <w:rPr>
                <w:rFonts w:ascii="Times New Roman" w:hAnsi="Times New Roman" w:eastAsia="方正仿宋_GBK" w:cs="Times New Roman"/>
                <w:sz w:val="24"/>
                <w:szCs w:val="24"/>
              </w:rPr>
            </w:pP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18061689520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7</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江苏君立华域信息安全技术股份有限公司</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主要业务围绕安全产品的开发，有蜜罐、资产探测扫描、安全攻防实训平台，安全竞赛、安全服务、安全培训、等级保护测评、无人机管制等。特色特长主要是工控安全竞赛服务、工控安全培训、工控系统资产探测发现和漏洞扫描，工控安全实训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金建军</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副总经理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18963618235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8</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江苏金盾检测技术有限公司</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主要业务包括网络安全等级保护测评、信息安全风险评估、全面性渗透测试、移动应用安全测试、源代码审计、信息安全合规审计、信息系统安全加固、信息系统安全运维、安全监测与预警、应急演练与应急处置、信息系统工程监理等。</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钟敏</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销售总监</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18662722353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9</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无锡市软测认证有限公司</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从事计算机软件产品质量第三方检验检测和信息系统第三方安全评估的专业机构，基于移动App和工业控制系统安全漏洞检测与挖掘、攻击事件溯源等方面具有丰富的技术积累，提供风险评估、渗透测试和应急响应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陈相云</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信息安全负责人</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13665164202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10</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江苏瑞新信息技术股份有限公司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是专业的信息安全服务提供商，可提供预警监测、风险评估、应急响应、安全咨询与培训、指导提升工控安全防护能力、工控安全集成等服务。长期深耕网络安全服务行业，对工控安全有独特认知，擅长工控安全评估与工控安全整体解决方案的提供。</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张必友</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副总经理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15161185757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11</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中国电信股份有限公司常州分公司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拥有电信级的机房建设和运维能力，专业的网络规划和运营能力，严格的保密管理制度，为各行业客户提供云网安全、数据安全、信息安全等服务。在工业信息安全方面，主要提供物理环境检查、网络架构分析、资产识别、安全基线检查、漏洞扫描、渗透测试、代码审计、安全管理评估、应急响应、数据安全防护等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刘琪</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行业经理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13306119711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12</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苏州亿阳值通科技发展股份有限公司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以安全测评中心、安全运营中心为依托，构建工业网络安全检测与评估，监测与运维，咨询与培训、安全应急与支援四大业务板块，利用自身优势紧跟时代潮流，为政府、企业提供全方位的工业信息安全服务。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梁立新</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技术总监</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13861888665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江苏国保信息系统测评中心有限公司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企业</w:t>
            </w:r>
            <w:r>
              <w:rPr>
                <w:rFonts w:ascii="Times New Roman" w:hAnsi="Times New Roman" w:eastAsia="方正仿宋_GBK" w:cs="Times New Roman"/>
                <w:sz w:val="24"/>
                <w:szCs w:val="24"/>
              </w:rPr>
              <w:t>获得</w:t>
            </w:r>
            <w:r>
              <w:rPr>
                <w:rFonts w:hint="eastAsia" w:ascii="Times New Roman" w:hAnsi="Times New Roman" w:eastAsia="方正仿宋_GBK" w:cs="Times New Roman"/>
                <w:sz w:val="24"/>
                <w:szCs w:val="24"/>
              </w:rPr>
              <w:t>过</w:t>
            </w:r>
            <w:r>
              <w:rPr>
                <w:rFonts w:ascii="Times New Roman" w:hAnsi="Times New Roman" w:eastAsia="方正仿宋_GBK" w:cs="Times New Roman"/>
                <w:sz w:val="24"/>
                <w:szCs w:val="24"/>
              </w:rPr>
              <w:t>工业信息安全产业发展联盟颁发的工业信息安全应急服务支撑单位证书，可以为用户工业信息系统提供专业的安全咨询、风险评估、渗透测试，应急演练、应急响应、安全预警、安全重保等服务。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傅钰</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副总经理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18994439096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14</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江苏天创科技有限公司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以“智慧+安全”为核心理念，为企业智能化改造和数字化转型提供安全咨询、风险评估、安全集成、软件开发、安全托管服务等一整套网络安全解决方案，协助企业建立符合等级保护2.0和其他法律法规的工控系统安全防护体系，保障企业的生产运营。</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徐昊</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业务经理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17849970902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15</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江苏新亿迪智能科技有限公司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成立20余年来</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致力于信息化、系统集成、软件开发、网络安全、大数据安全、物联网、智慧城市等服务。近年来主要在工业互联、工业应用开发、工业安全；风险、渗透、等保、云建设、大数据安全、隐私计算等领域提供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宋俏</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市场总监</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13222202512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16</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江苏亨通工控安全研究院有限公司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以提供工控安全整体解决方案为核心，支持工控安全咨询、安全培训、安全应急、安全检测、风险评估、安全建设及运维、攻防演练、漏洞挖掘及网络安全人才培养等服务。</w:t>
            </w: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拥有专业的安全团队，支撑多项安全大赛及攻防演练，实施百项工业安全项目。</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黄佳敏</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业务经理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15001835053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17</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苏州如意云网络科技有限公司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企业是</w:t>
            </w:r>
            <w:r>
              <w:rPr>
                <w:rFonts w:ascii="Times New Roman" w:hAnsi="Times New Roman" w:eastAsia="方正仿宋_GBK" w:cs="Times New Roman"/>
                <w:sz w:val="24"/>
                <w:szCs w:val="24"/>
              </w:rPr>
              <w:t>专业网络安全服务提供商，除拥有网络安全等级保护测评机构资质外，也是第一批工业互联网安全评估评测机构，参与了省工业信息安全防护星级企业培育工作。公司拥有三十多位安全服务技术人员，拥有丰富的工业信息安全服务及管理经验。</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周建金</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安全测评部技术总监</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13862073466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18</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苏州新希望科技有限公司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公司</w:t>
            </w:r>
            <w:r>
              <w:rPr>
                <w:rFonts w:ascii="Times New Roman" w:hAnsi="Times New Roman" w:eastAsia="方正仿宋_GBK" w:cs="Times New Roman"/>
                <w:sz w:val="24"/>
                <w:szCs w:val="24"/>
              </w:rPr>
              <w:t>在安全风险评估、资产漏洞管理、安全威胁与攻击防护、应急响应等7个安全保障维度，建立了完善的信息安全服务及运维团队，通过了信息安全服务体系认证，获得了涉密信息系统集成乙级资质，具备了全方位安全服务能力。</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徐伟</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信息安全事业部经理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13814841480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jc w:val="center"/>
        </w:trPr>
        <w:tc>
          <w:tcPr>
            <w:tcW w:w="846"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19</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江苏晟晖信息科技有限公司</w:t>
            </w:r>
          </w:p>
        </w:tc>
        <w:tc>
          <w:tcPr>
            <w:tcW w:w="7230" w:type="dxa"/>
            <w:vAlign w:val="center"/>
          </w:tcPr>
          <w:p>
            <w:pPr>
              <w:snapToGrid w:val="0"/>
              <w:rPr>
                <w:rFonts w:ascii="Times New Roman" w:hAnsi="Times New Roman" w:eastAsia="方正仿宋_GBK" w:cs="Times New Roman"/>
                <w:sz w:val="24"/>
                <w:szCs w:val="24"/>
              </w:rPr>
            </w:pPr>
            <w:r>
              <w:rPr>
                <w:rFonts w:ascii="Times New Roman" w:hAnsi="Times New Roman" w:eastAsia="方正仿宋_GBK" w:cs="Times New Roman"/>
                <w:sz w:val="24"/>
                <w:szCs w:val="24"/>
              </w:rPr>
              <w:t>主要从事工业信息安全领域的系统集成、风险评估、安全性测试评估、安全监测预警、应急处突、重保支撑、安全运维、安全加固、安全咨询、安全规划、安全设计、安全培训等。建有城市网络安全运营中心实现了以监测预警为核心的“全时域”网络安全保障服务。</w:t>
            </w:r>
          </w:p>
        </w:tc>
        <w:tc>
          <w:tcPr>
            <w:tcW w:w="1984"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张卫</w:t>
            </w:r>
          </w:p>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副总经理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15950805559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846"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2</w:t>
            </w:r>
            <w:r>
              <w:rPr>
                <w:rFonts w:ascii="Times New Roman" w:hAnsi="Times New Roman" w:eastAsia="方正仿宋_GBK" w:cs="Times New Roman"/>
                <w:sz w:val="24"/>
                <w:szCs w:val="22"/>
              </w:rPr>
              <w:t>0</w:t>
            </w:r>
          </w:p>
        </w:tc>
        <w:tc>
          <w:tcPr>
            <w:tcW w:w="1984"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扬州大自然网络信息有限公司</w:t>
            </w:r>
          </w:p>
        </w:tc>
        <w:tc>
          <w:tcPr>
            <w:tcW w:w="7230" w:type="dxa"/>
            <w:vAlign w:val="center"/>
          </w:tcPr>
          <w:p>
            <w:pPr>
              <w:snapToGrid w:val="0"/>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公司</w:t>
            </w:r>
            <w:r>
              <w:rPr>
                <w:rFonts w:ascii="Times New Roman" w:hAnsi="Times New Roman" w:eastAsia="方正仿宋_GBK" w:cs="Times New Roman"/>
                <w:sz w:val="24"/>
                <w:szCs w:val="22"/>
              </w:rPr>
              <w:t>是从事网络安全服务的高新技术企业</w:t>
            </w:r>
            <w:r>
              <w:rPr>
                <w:rFonts w:hint="eastAsia" w:ascii="Times New Roman" w:hAnsi="Times New Roman" w:eastAsia="方正仿宋_GBK" w:cs="Times New Roman"/>
                <w:sz w:val="24"/>
                <w:szCs w:val="22"/>
              </w:rPr>
              <w:t>，</w:t>
            </w:r>
            <w:r>
              <w:rPr>
                <w:rFonts w:ascii="Times New Roman" w:hAnsi="Times New Roman" w:eastAsia="方正仿宋_GBK" w:cs="Times New Roman"/>
                <w:sz w:val="24"/>
                <w:szCs w:val="22"/>
              </w:rPr>
              <w:t>为企业开展技术培训、方案设计、漏洞检测、问题整改和评估报告</w:t>
            </w:r>
            <w:r>
              <w:rPr>
                <w:rFonts w:hint="eastAsia" w:ascii="Times New Roman" w:hAnsi="Times New Roman" w:eastAsia="方正仿宋_GBK" w:cs="Times New Roman"/>
                <w:sz w:val="24"/>
                <w:szCs w:val="22"/>
              </w:rPr>
              <w:t>等</w:t>
            </w:r>
            <w:r>
              <w:rPr>
                <w:rFonts w:ascii="Times New Roman" w:hAnsi="Times New Roman" w:eastAsia="方正仿宋_GBK" w:cs="Times New Roman"/>
                <w:sz w:val="24"/>
                <w:szCs w:val="22"/>
              </w:rPr>
              <w:t>安全服务。作为安全专委会主任单位，建立</w:t>
            </w:r>
            <w:r>
              <w:rPr>
                <w:rFonts w:hint="eastAsia" w:ascii="Times New Roman" w:hAnsi="Times New Roman" w:eastAsia="方正仿宋_GBK" w:cs="Times New Roman"/>
                <w:sz w:val="24"/>
                <w:szCs w:val="22"/>
              </w:rPr>
              <w:t>了</w:t>
            </w:r>
            <w:r>
              <w:rPr>
                <w:rFonts w:ascii="Times New Roman" w:hAnsi="Times New Roman" w:eastAsia="方正仿宋_GBK" w:cs="Times New Roman"/>
                <w:sz w:val="24"/>
                <w:szCs w:val="22"/>
              </w:rPr>
              <w:t>工控安全实验室，引入</w:t>
            </w:r>
            <w:r>
              <w:rPr>
                <w:rFonts w:hint="eastAsia" w:ascii="Times New Roman" w:hAnsi="Times New Roman" w:eastAsia="方正仿宋_GBK" w:cs="Times New Roman"/>
                <w:sz w:val="24"/>
                <w:szCs w:val="22"/>
              </w:rPr>
              <w:t>专业</w:t>
            </w:r>
            <w:r>
              <w:rPr>
                <w:rFonts w:ascii="Times New Roman" w:hAnsi="Times New Roman" w:eastAsia="方正仿宋_GBK" w:cs="Times New Roman"/>
                <w:sz w:val="24"/>
                <w:szCs w:val="22"/>
              </w:rPr>
              <w:t>技术人员共同推动安全防护技术和服务研究。</w:t>
            </w:r>
          </w:p>
        </w:tc>
        <w:tc>
          <w:tcPr>
            <w:tcW w:w="1984" w:type="dxa"/>
            <w:vAlign w:val="center"/>
          </w:tcPr>
          <w:p>
            <w:pPr>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王莉</w:t>
            </w:r>
          </w:p>
          <w:p>
            <w:pPr>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商务部经理</w:t>
            </w:r>
          </w:p>
        </w:tc>
        <w:tc>
          <w:tcPr>
            <w:tcW w:w="1701" w:type="dxa"/>
            <w:vAlign w:val="center"/>
          </w:tcPr>
          <w:p>
            <w:pPr>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13338851202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2</w:t>
            </w:r>
            <w:r>
              <w:rPr>
                <w:rFonts w:ascii="Times New Roman" w:hAnsi="Times New Roman" w:eastAsia="方正仿宋_GBK" w:cs="Times New Roman"/>
                <w:sz w:val="24"/>
                <w:szCs w:val="22"/>
              </w:rPr>
              <w:t>1</w:t>
            </w:r>
          </w:p>
        </w:tc>
        <w:tc>
          <w:tcPr>
            <w:tcW w:w="1984"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江苏怡通智能科技有限公司</w:t>
            </w:r>
          </w:p>
        </w:tc>
        <w:tc>
          <w:tcPr>
            <w:tcW w:w="7230" w:type="dxa"/>
            <w:vAlign w:val="center"/>
          </w:tcPr>
          <w:p>
            <w:pPr>
              <w:snapToGrid w:val="0"/>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公司能够</w:t>
            </w:r>
            <w:r>
              <w:rPr>
                <w:rFonts w:ascii="Times New Roman" w:hAnsi="Times New Roman" w:eastAsia="方正仿宋_GBK" w:cs="Times New Roman"/>
                <w:sz w:val="24"/>
                <w:szCs w:val="22"/>
              </w:rPr>
              <w:t>为工业企业提供一站式信息安全公共服务，服务内容包括工业信息安全保障体系规划设计、风险评估、渗透测试、诊断咨询、安全加固、安全培训、应急演练等。加强工业企业事前检测预警、事中监测防护、事后应急响应的能力。</w:t>
            </w:r>
          </w:p>
        </w:tc>
        <w:tc>
          <w:tcPr>
            <w:tcW w:w="1984" w:type="dxa"/>
            <w:vAlign w:val="center"/>
          </w:tcPr>
          <w:p>
            <w:pPr>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虞志鹏</w:t>
            </w:r>
          </w:p>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副总经理</w:t>
            </w:r>
          </w:p>
        </w:tc>
        <w:tc>
          <w:tcPr>
            <w:tcW w:w="1701" w:type="dxa"/>
            <w:vAlign w:val="center"/>
          </w:tcPr>
          <w:p>
            <w:pPr>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15365991390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2</w:t>
            </w:r>
            <w:r>
              <w:rPr>
                <w:rFonts w:ascii="Times New Roman" w:hAnsi="Times New Roman" w:eastAsia="方正仿宋_GBK" w:cs="Times New Roman"/>
                <w:sz w:val="24"/>
                <w:szCs w:val="22"/>
              </w:rPr>
              <w:t>2</w:t>
            </w:r>
          </w:p>
        </w:tc>
        <w:tc>
          <w:tcPr>
            <w:tcW w:w="1984"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江苏富深协通科技股份有限公司</w:t>
            </w:r>
          </w:p>
        </w:tc>
        <w:tc>
          <w:tcPr>
            <w:tcW w:w="7230" w:type="dxa"/>
            <w:vAlign w:val="center"/>
          </w:tcPr>
          <w:p>
            <w:pPr>
              <w:snapToGrid w:val="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可为企业提供工控系统信息安全的风险评估、防护工程建设、日常运维等服务。服务内容包括（1）国内外标准结合：如等保2</w:t>
            </w:r>
            <w:r>
              <w:rPr>
                <w:rFonts w:ascii="Times New Roman" w:hAnsi="Times New Roman" w:eastAsia="方正仿宋_GBK" w:cs="Times New Roman"/>
                <w:sz w:val="24"/>
                <w:szCs w:val="24"/>
              </w:rPr>
              <w:t>.0</w:t>
            </w:r>
            <w:r>
              <w:rPr>
                <w:rFonts w:hint="eastAsia" w:ascii="Times New Roman" w:hAnsi="Times New Roman" w:eastAsia="方正仿宋_GBK" w:cs="Times New Roman"/>
                <w:sz w:val="24"/>
                <w:szCs w:val="24"/>
              </w:rPr>
              <w:t>、G</w:t>
            </w:r>
            <w:r>
              <w:rPr>
                <w:rFonts w:ascii="Times New Roman" w:hAnsi="Times New Roman" w:eastAsia="方正仿宋_GBK" w:cs="Times New Roman"/>
                <w:sz w:val="24"/>
                <w:szCs w:val="24"/>
              </w:rPr>
              <w:t>B</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T 26333</w:t>
            </w:r>
            <w:r>
              <w:rPr>
                <w:rFonts w:hint="eastAsia" w:ascii="Times New Roman" w:hAnsi="Times New Roman" w:eastAsia="方正仿宋_GBK" w:cs="Times New Roman"/>
                <w:sz w:val="24"/>
                <w:szCs w:val="24"/>
              </w:rPr>
              <w:t>、G</w:t>
            </w:r>
            <w:r>
              <w:rPr>
                <w:rFonts w:ascii="Times New Roman" w:hAnsi="Times New Roman" w:eastAsia="方正仿宋_GBK" w:cs="Times New Roman"/>
                <w:sz w:val="24"/>
                <w:szCs w:val="24"/>
              </w:rPr>
              <w:t>B/T 30976</w:t>
            </w:r>
            <w:r>
              <w:rPr>
                <w:rFonts w:hint="eastAsia" w:ascii="Times New Roman" w:hAnsi="Times New Roman" w:eastAsia="方正仿宋_GBK" w:cs="Times New Roman"/>
                <w:sz w:val="24"/>
                <w:szCs w:val="24"/>
              </w:rPr>
              <w:t>、I</w:t>
            </w:r>
            <w:r>
              <w:rPr>
                <w:rFonts w:ascii="Times New Roman" w:hAnsi="Times New Roman" w:eastAsia="方正仿宋_GBK" w:cs="Times New Roman"/>
                <w:sz w:val="24"/>
                <w:szCs w:val="24"/>
              </w:rPr>
              <w:t>EC62443</w:t>
            </w:r>
            <w:r>
              <w:rPr>
                <w:rFonts w:hint="eastAsia" w:ascii="Times New Roman" w:hAnsi="Times New Roman" w:eastAsia="方正仿宋_GBK" w:cs="Times New Roman"/>
                <w:sz w:val="24"/>
                <w:szCs w:val="24"/>
              </w:rPr>
              <w:t>等；（2）信息系统、工控系统安全的规范性与专业性的统一；（3）工控安全可以涵盖设备使用、产品设计生产。</w:t>
            </w:r>
          </w:p>
        </w:tc>
        <w:tc>
          <w:tcPr>
            <w:tcW w:w="1984" w:type="dxa"/>
            <w:vAlign w:val="center"/>
          </w:tcPr>
          <w:p>
            <w:pPr>
              <w:snapToGrid w:val="0"/>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朱志斌</w:t>
            </w:r>
          </w:p>
          <w:p>
            <w:pPr>
              <w:snapToGrid w:val="0"/>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业务经理</w:t>
            </w:r>
          </w:p>
        </w:tc>
        <w:tc>
          <w:tcPr>
            <w:tcW w:w="1701" w:type="dxa"/>
            <w:vAlign w:val="center"/>
          </w:tcPr>
          <w:p>
            <w:pPr>
              <w:snapToGrid w:val="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13382827210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846"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2</w:t>
            </w:r>
            <w:r>
              <w:rPr>
                <w:rFonts w:ascii="Times New Roman" w:hAnsi="Times New Roman" w:eastAsia="方正仿宋_GBK" w:cs="Times New Roman"/>
                <w:sz w:val="24"/>
                <w:szCs w:val="22"/>
              </w:rPr>
              <w:t>3</w:t>
            </w:r>
          </w:p>
        </w:tc>
        <w:tc>
          <w:tcPr>
            <w:tcW w:w="1984" w:type="dxa"/>
            <w:vAlign w:val="center"/>
          </w:tcPr>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江苏诚通网络科技有限公司</w:t>
            </w:r>
          </w:p>
        </w:tc>
        <w:tc>
          <w:tcPr>
            <w:tcW w:w="7230" w:type="dxa"/>
            <w:vAlign w:val="center"/>
          </w:tcPr>
          <w:p>
            <w:pPr>
              <w:snapToGrid w:val="0"/>
              <w:rPr>
                <w:rFonts w:ascii="Times New Roman" w:hAnsi="Times New Roman" w:eastAsia="方正仿宋_GBK" w:cs="Times New Roman"/>
                <w:sz w:val="24"/>
                <w:szCs w:val="22"/>
              </w:rPr>
            </w:pPr>
            <w:r>
              <w:rPr>
                <w:rFonts w:ascii="Times New Roman" w:hAnsi="Times New Roman" w:eastAsia="方正仿宋_GBK" w:cs="Times New Roman"/>
                <w:sz w:val="24"/>
                <w:szCs w:val="22"/>
              </w:rPr>
              <w:t>主要</w:t>
            </w:r>
            <w:r>
              <w:rPr>
                <w:rFonts w:hint="eastAsia" w:ascii="Times New Roman" w:hAnsi="Times New Roman" w:eastAsia="方正仿宋_GBK" w:cs="Times New Roman"/>
                <w:sz w:val="24"/>
                <w:szCs w:val="22"/>
              </w:rPr>
              <w:t>从事</w:t>
            </w:r>
            <w:r>
              <w:rPr>
                <w:rFonts w:ascii="Times New Roman" w:hAnsi="Times New Roman" w:eastAsia="方正仿宋_GBK" w:cs="Times New Roman"/>
                <w:sz w:val="24"/>
                <w:szCs w:val="22"/>
              </w:rPr>
              <w:t>工业信息安全设计咨询服务及工业企业信息系统的安全风险评估</w:t>
            </w:r>
            <w:r>
              <w:rPr>
                <w:rFonts w:hint="eastAsia" w:ascii="Times New Roman" w:hAnsi="Times New Roman" w:eastAsia="方正仿宋_GBK" w:cs="Times New Roman"/>
                <w:sz w:val="24"/>
                <w:szCs w:val="22"/>
              </w:rPr>
              <w:t>。</w:t>
            </w:r>
          </w:p>
        </w:tc>
        <w:tc>
          <w:tcPr>
            <w:tcW w:w="1984" w:type="dxa"/>
            <w:vAlign w:val="center"/>
          </w:tcPr>
          <w:p>
            <w:pPr>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杨冠</w:t>
            </w:r>
          </w:p>
          <w:p>
            <w:pPr>
              <w:snapToGrid w:val="0"/>
              <w:jc w:val="center"/>
              <w:rPr>
                <w:rFonts w:ascii="Times New Roman" w:hAnsi="Times New Roman" w:eastAsia="方正仿宋_GBK" w:cs="Times New Roman"/>
                <w:sz w:val="24"/>
                <w:szCs w:val="22"/>
              </w:rPr>
            </w:pPr>
            <w:r>
              <w:rPr>
                <w:rFonts w:hint="eastAsia" w:ascii="Times New Roman" w:hAnsi="Times New Roman" w:eastAsia="方正仿宋_GBK" w:cs="Times New Roman"/>
                <w:sz w:val="24"/>
                <w:szCs w:val="22"/>
              </w:rPr>
              <w:t>安全工程师</w:t>
            </w:r>
          </w:p>
        </w:tc>
        <w:tc>
          <w:tcPr>
            <w:tcW w:w="1701" w:type="dxa"/>
            <w:vAlign w:val="center"/>
          </w:tcPr>
          <w:p>
            <w:pPr>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15161198889</w:t>
            </w:r>
          </w:p>
        </w:tc>
      </w:tr>
    </w:tbl>
    <w:p>
      <w:pPr>
        <w:snapToGrid w:val="0"/>
        <w:jc w:val="left"/>
        <w:rPr>
          <w:rFonts w:ascii="Times New Roman" w:hAnsi="Times New Roman" w:eastAsia="方正仿宋_GBK" w:cs="Times New Roman"/>
          <w:sz w:val="10"/>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5C2"/>
    <w:rsid w:val="000263F3"/>
    <w:rsid w:val="0004405A"/>
    <w:rsid w:val="000728E5"/>
    <w:rsid w:val="0008608D"/>
    <w:rsid w:val="00097572"/>
    <w:rsid w:val="000A21FE"/>
    <w:rsid w:val="000C4704"/>
    <w:rsid w:val="000D441D"/>
    <w:rsid w:val="000E0897"/>
    <w:rsid w:val="000E0FAC"/>
    <w:rsid w:val="000E347A"/>
    <w:rsid w:val="001A7A5C"/>
    <w:rsid w:val="00217464"/>
    <w:rsid w:val="0024466C"/>
    <w:rsid w:val="002661A4"/>
    <w:rsid w:val="00272B26"/>
    <w:rsid w:val="00275C48"/>
    <w:rsid w:val="002920F7"/>
    <w:rsid w:val="002A0471"/>
    <w:rsid w:val="002D6131"/>
    <w:rsid w:val="002E2961"/>
    <w:rsid w:val="002F41D9"/>
    <w:rsid w:val="00300B9A"/>
    <w:rsid w:val="00315D5E"/>
    <w:rsid w:val="0031624A"/>
    <w:rsid w:val="003354C3"/>
    <w:rsid w:val="00350E90"/>
    <w:rsid w:val="00353EBD"/>
    <w:rsid w:val="00354B7E"/>
    <w:rsid w:val="00363EB9"/>
    <w:rsid w:val="00372445"/>
    <w:rsid w:val="00387753"/>
    <w:rsid w:val="0044729E"/>
    <w:rsid w:val="00451CBA"/>
    <w:rsid w:val="00452502"/>
    <w:rsid w:val="004B238C"/>
    <w:rsid w:val="004B7120"/>
    <w:rsid w:val="004D3E70"/>
    <w:rsid w:val="004F0D19"/>
    <w:rsid w:val="00556645"/>
    <w:rsid w:val="00567184"/>
    <w:rsid w:val="00567260"/>
    <w:rsid w:val="00575155"/>
    <w:rsid w:val="00584D69"/>
    <w:rsid w:val="00596E10"/>
    <w:rsid w:val="005F7A32"/>
    <w:rsid w:val="00617405"/>
    <w:rsid w:val="006C2F18"/>
    <w:rsid w:val="006D1783"/>
    <w:rsid w:val="006D1D86"/>
    <w:rsid w:val="006E0B88"/>
    <w:rsid w:val="006E3ED3"/>
    <w:rsid w:val="006E4E43"/>
    <w:rsid w:val="006F33CF"/>
    <w:rsid w:val="00702FE9"/>
    <w:rsid w:val="00730CE1"/>
    <w:rsid w:val="0073377B"/>
    <w:rsid w:val="007525C7"/>
    <w:rsid w:val="007915CD"/>
    <w:rsid w:val="007D1D41"/>
    <w:rsid w:val="008102E8"/>
    <w:rsid w:val="00856A3D"/>
    <w:rsid w:val="0086167F"/>
    <w:rsid w:val="00872E52"/>
    <w:rsid w:val="008A5F2F"/>
    <w:rsid w:val="008B08A6"/>
    <w:rsid w:val="008D6F57"/>
    <w:rsid w:val="008F65B3"/>
    <w:rsid w:val="009176D0"/>
    <w:rsid w:val="00924496"/>
    <w:rsid w:val="0095415E"/>
    <w:rsid w:val="00975DB5"/>
    <w:rsid w:val="009A105B"/>
    <w:rsid w:val="009A258A"/>
    <w:rsid w:val="009B7BE6"/>
    <w:rsid w:val="009C4CE8"/>
    <w:rsid w:val="009E4A0E"/>
    <w:rsid w:val="009E6459"/>
    <w:rsid w:val="00A31A4C"/>
    <w:rsid w:val="00A31D8A"/>
    <w:rsid w:val="00A36C0B"/>
    <w:rsid w:val="00A502B2"/>
    <w:rsid w:val="00AC01CC"/>
    <w:rsid w:val="00AE19CA"/>
    <w:rsid w:val="00AF77D0"/>
    <w:rsid w:val="00B14D78"/>
    <w:rsid w:val="00B46EB6"/>
    <w:rsid w:val="00B50AB6"/>
    <w:rsid w:val="00B536F2"/>
    <w:rsid w:val="00BB3157"/>
    <w:rsid w:val="00BB57B2"/>
    <w:rsid w:val="00BC4779"/>
    <w:rsid w:val="00BD45B3"/>
    <w:rsid w:val="00C34A61"/>
    <w:rsid w:val="00C40E36"/>
    <w:rsid w:val="00C86203"/>
    <w:rsid w:val="00CD75D5"/>
    <w:rsid w:val="00CF6B1E"/>
    <w:rsid w:val="00D05F52"/>
    <w:rsid w:val="00D12E31"/>
    <w:rsid w:val="00D207AE"/>
    <w:rsid w:val="00D3544B"/>
    <w:rsid w:val="00D4171D"/>
    <w:rsid w:val="00D60BE0"/>
    <w:rsid w:val="00DA56D4"/>
    <w:rsid w:val="00DE6B95"/>
    <w:rsid w:val="00E13AE3"/>
    <w:rsid w:val="00E2610F"/>
    <w:rsid w:val="00E26880"/>
    <w:rsid w:val="00E325C2"/>
    <w:rsid w:val="00E4258C"/>
    <w:rsid w:val="00E467BC"/>
    <w:rsid w:val="00ED5056"/>
    <w:rsid w:val="00F00952"/>
    <w:rsid w:val="00F10DED"/>
    <w:rsid w:val="00F25FC1"/>
    <w:rsid w:val="00F44E79"/>
    <w:rsid w:val="00F5519E"/>
    <w:rsid w:val="00F8445D"/>
    <w:rsid w:val="00F952D6"/>
    <w:rsid w:val="00FA1D4B"/>
    <w:rsid w:val="EDB7A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rPr>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0"/>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732</Words>
  <Characters>4178</Characters>
  <Lines>34</Lines>
  <Paragraphs>9</Paragraphs>
  <TotalTime>193</TotalTime>
  <ScaleCrop>false</ScaleCrop>
  <LinksUpToDate>false</LinksUpToDate>
  <CharactersWithSpaces>4901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2021-08-10T10:22:00Z</dcterms:created>
  <dc:creator>ck</dc:creator>
  <cp:lastModifiedBy>uos</cp:lastModifiedBy>
  <cp:lastPrinted>2022-06-17T11:14:00Z</cp:lastPrinted>
  <dcterms:modified xsi:type="dcterms:W3CDTF">2022-06-22T16:41:12Z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